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83CC6" w:rsidRDefault="00000000">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Educators as Capability Architects: Reimagining Jesuit Management Education for Human Flourishing in an AI-Mediated World</w:t>
      </w:r>
    </w:p>
    <w:p w14:paraId="00000002" w14:textId="77777777" w:rsidR="00C83CC6"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Extended abstract</w:t>
      </w:r>
    </w:p>
    <w:p w14:paraId="00000003"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(AI) is reshaping how knowledge is produced, assessed, and used in higher education. In management education, this shift is particularly significant. Tasks that once formed the core of learning, such as analyzing cases, synthesizing information, or developing arguments, can now be completed with the assistance of generative AI tools. Simultaneously, business leaders face the challenge of tackling complex issues such as sustainability, social inequality, and global interdependence. These developments raise a fundamental question for educators: what should management education aim to develop in students when both knowledge and analytical support are increasingly available on demand (Dwivedi et al., 2023)?</w:t>
      </w:r>
    </w:p>
    <w:p w14:paraId="00000004"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 responds to that question by proposing a shift in emphasis from knowledge transmission to the development of human capabilities. Based on the Jesuit educational tradition, the educator's role is best understood not as a provider of content but as a designer of learning environments that support the formation of reflective, responsible, and ethically grounded leaders. To capture this shift, our work introduces the idea of the educator as a ‘Capability architect”.</w:t>
      </w:r>
    </w:p>
    <w:p w14:paraId="00000005"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work is twofold. First, it develops a conceptual framework for understanding how AI and related technological and social changes are reshaping the aims of management education. Second, it offers a set of pedagogical approaches that can be implemented in practice to support this reorientation while remaining consistent with the mission of Jesuit business education and aligned with calls for responsible management education (PRME, 2017).</w:t>
      </w:r>
    </w:p>
    <w:p w14:paraId="00000006"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argument is grounded in several complementary theoretical perspectives. The capability approach (Nussbaum, 2011) shifts attention from strictly knowledge to what students can do and become within the context of knowing. In this context, where information is readily available, the value of education lies less in acquiring knowledge and more in developing the ability to think independently and critically, exercise judgment, and act responsibly. These concerns resonate with the Jesuit emphasis on the formation of the whole person and on cultivating leaders committed to the common good (Aguado et al., 2016).</w:t>
      </w:r>
    </w:p>
    <w:p w14:paraId="00000007"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Transformative learning theory (Mezirow, 1997) further supports this perspective by emphasizing the importance of critical reflection and the examination of assumptions. In AI-supported learning environments, students may be inclined to accept generated responses without questioning their underlying logic or implications. Supporting students in developing epistemic agency— the capacity to evaluate knowledge claims and take responsibility for their own thinking— is an important educational task.</w:t>
      </w:r>
    </w:p>
    <w:p w14:paraId="00000008"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 also draws on </w:t>
      </w:r>
      <w:proofErr w:type="spellStart"/>
      <w:r>
        <w:rPr>
          <w:rFonts w:ascii="Times New Roman" w:eastAsia="Times New Roman" w:hAnsi="Times New Roman" w:cs="Times New Roman"/>
          <w:sz w:val="24"/>
          <w:szCs w:val="24"/>
        </w:rPr>
        <w:t>sociomaterial</w:t>
      </w:r>
      <w:proofErr w:type="spellEnd"/>
      <w:r>
        <w:rPr>
          <w:rFonts w:ascii="Times New Roman" w:eastAsia="Times New Roman" w:hAnsi="Times New Roman" w:cs="Times New Roman"/>
          <w:sz w:val="24"/>
          <w:szCs w:val="24"/>
        </w:rPr>
        <w:t xml:space="preserve"> perspectives, which highlight how technologies shape individuals’ thinking and actions (Orlikowski, 2007). From this perspective, AI and technological advancements are part of the learning process itself. Interactions with AI systems increasingly shape students' decisions. Recognizing these factors, the paper introduces the idea of human–AI co-agency, emphasizing that students must remain aware of how AI influences their thinking while retaining responsibility for their judgments and actions (Raisch &amp; Krakowski, 2021).</w:t>
      </w:r>
    </w:p>
    <w:p w14:paraId="00000009"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Scholarship of Teaching and Learning (SoTL) research underscores the necessity of pedagogical redesign </w:t>
      </w:r>
      <w:proofErr w:type="gramStart"/>
      <w:r>
        <w:rPr>
          <w:rFonts w:ascii="Times New Roman" w:eastAsia="Times New Roman" w:hAnsi="Times New Roman" w:cs="Times New Roman"/>
          <w:sz w:val="24"/>
          <w:szCs w:val="24"/>
        </w:rPr>
        <w:t>in light of</w:t>
      </w:r>
      <w:proofErr w:type="gramEnd"/>
      <w:r>
        <w:rPr>
          <w:rFonts w:ascii="Times New Roman" w:eastAsia="Times New Roman" w:hAnsi="Times New Roman" w:cs="Times New Roman"/>
          <w:sz w:val="24"/>
          <w:szCs w:val="24"/>
        </w:rPr>
        <w:t xml:space="preserve"> generative AI. Emerging studies suggest that effective AI </w:t>
      </w:r>
      <w:r>
        <w:rPr>
          <w:rFonts w:ascii="Times New Roman" w:eastAsia="Times New Roman" w:hAnsi="Times New Roman" w:cs="Times New Roman"/>
          <w:sz w:val="24"/>
          <w:szCs w:val="24"/>
        </w:rPr>
        <w:lastRenderedPageBreak/>
        <w:t>integration requires moving beyond tool adoption toward rethinking learning design, assessment, and student engagement. These contributions highlight the importance of designing learning experiences that promote critical engagement with AI rather than passive reliance on it.</w:t>
      </w:r>
    </w:p>
    <w:p w14:paraId="0000000A"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on these foundations, our work introduces the concept of capability architecture as a way of contemplating course design. Rather than organizing teaching primarily around content, capability architecture focuses on the kinds of development educators want to support. This involves being explicit about which capabilities are being cultivated, creating learning situations where answers are not immediately available, encouraging reflection on thinking processes, and structuring opportunities for dialogue and collaboration. Together, these elements shift the emphasis of teaching from delivering information to supporting meaningful intellectual and personal development of character, capabilities, and competence (Crossan et al., 2024; Crossan et al., 2016).</w:t>
      </w:r>
    </w:p>
    <w:p w14:paraId="0000000B"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also outline several pedagogical approaches that demonstrate the practical application of this framework. One example is the use of activities in which students work with AI-generated responses that contain gaps or inconsistencies. Rather than accepting these outputs, students are asked to analyze them critically and explain their reasoning. Another approach involves using AI-generated scenarios to explore ethical dilemmas, prompting students to consider the values and assumptions embedded in different courses of action.</w:t>
      </w:r>
    </w:p>
    <w:p w14:paraId="0000000C"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practices include inviting students to reflect on how they use AI in their work, redesigning assessments to focus more on reasoning and justification than on final </w:t>
      </w:r>
      <w:proofErr w:type="gramStart"/>
      <w:r>
        <w:rPr>
          <w:rFonts w:ascii="Times New Roman" w:eastAsia="Times New Roman" w:hAnsi="Times New Roman" w:cs="Times New Roman"/>
          <w:sz w:val="24"/>
          <w:szCs w:val="24"/>
        </w:rPr>
        <w:t>answers, and</w:t>
      </w:r>
      <w:proofErr w:type="gramEnd"/>
      <w:r>
        <w:rPr>
          <w:rFonts w:ascii="Times New Roman" w:eastAsia="Times New Roman" w:hAnsi="Times New Roman" w:cs="Times New Roman"/>
          <w:sz w:val="24"/>
          <w:szCs w:val="24"/>
        </w:rPr>
        <w:t xml:space="preserve"> creating opportunities for structured discussion around complex problems. These approaches </w:t>
      </w:r>
      <w:r>
        <w:rPr>
          <w:rFonts w:ascii="Times New Roman" w:eastAsia="Times New Roman" w:hAnsi="Times New Roman" w:cs="Times New Roman"/>
          <w:sz w:val="24"/>
          <w:szCs w:val="24"/>
        </w:rPr>
        <w:lastRenderedPageBreak/>
        <w:t xml:space="preserve">align with broader calls in management education to foster more profound engagement, reflexivity, and critical thinking in response to technological change.   </w:t>
      </w:r>
    </w:p>
    <w:p w14:paraId="0000000D"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these practices can also be used to engage students with broader questions related to sustainability and social responsibility. For example, AI-generated business scenarios can be used to examine tensions between short-term performance and long-term environmental or social impact, encouraging students to consider principles of responsible management and stakeholder accountability (Waddock, 2020). In this way, AI becomes a means of exploring the kinds of complex, value-laden decisions that managers increasingly face.</w:t>
      </w:r>
    </w:p>
    <w:p w14:paraId="0000000E"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work is conceptual and pedagogical in nature, informed by classroom experimentation and a SoTL perspectives that emphasizes iterative design and reflection. The approaches described are intended to be practical and adaptable across different contexts.</w:t>
      </w:r>
    </w:p>
    <w:p w14:paraId="0000000F" w14:textId="77777777" w:rsidR="00C83CC6"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 makes three main contributions. It brings together established theoretical perspectives to offer a coherent way of understanding the implications of AI for management education. It introduces capability architecture as a framework for curriculum and pedagogical design. And it provides concrete examples of how educators might redesign their teaching in response to technological and societal change.</w:t>
      </w:r>
    </w:p>
    <w:p w14:paraId="00000010" w14:textId="77777777" w:rsidR="00C83CC6" w:rsidRDefault="00000000">
      <w:pPr>
        <w:spacing w:before="240" w:after="240"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More broadly, our work contributes to ongoing conversations about how business education can respond to a rapidly changing world without losing sight of its core purpose. By reframing educators as capability architects, it shifts attention from what students know to who they are becoming. In an environment shaped by AI and global challenges, this orientation is essential for preparing students to exercise judgment, take responsibility, act ethically, and contribute to more just and sustainable futures.</w:t>
      </w:r>
    </w:p>
    <w:p w14:paraId="00000011" w14:textId="77777777" w:rsidR="00C83CC6" w:rsidRDefault="00C83CC6">
      <w:pPr>
        <w:spacing w:before="240" w:after="240"/>
        <w:rPr>
          <w:rFonts w:ascii="Times New Roman" w:eastAsia="Times New Roman" w:hAnsi="Times New Roman" w:cs="Times New Roman"/>
          <w:b/>
          <w:bCs/>
          <w:sz w:val="24"/>
          <w:szCs w:val="24"/>
        </w:rPr>
      </w:pPr>
    </w:p>
    <w:p w14:paraId="00000012" w14:textId="77777777" w:rsidR="00C83CC6"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0000013" w14:textId="77777777" w:rsidR="00C83CC6"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Aguado, R., </w:t>
      </w:r>
      <w:proofErr w:type="spellStart"/>
      <w:r>
        <w:rPr>
          <w:rFonts w:ascii="Times New Roman" w:eastAsia="Times New Roman" w:hAnsi="Times New Roman" w:cs="Times New Roman"/>
          <w:sz w:val="24"/>
          <w:szCs w:val="24"/>
        </w:rPr>
        <w:t>Alcañiz</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Retolaza</w:t>
      </w:r>
      <w:proofErr w:type="spellEnd"/>
      <w:r>
        <w:rPr>
          <w:rFonts w:ascii="Times New Roman" w:eastAsia="Times New Roman" w:hAnsi="Times New Roman" w:cs="Times New Roman"/>
          <w:sz w:val="24"/>
          <w:szCs w:val="24"/>
        </w:rPr>
        <w:t xml:space="preserve">, J. L., &amp; Albareda, L. (2016). Jesuit Business Education Model: In Search of a New Role for the Firm Based on Sustainability and Dignity. </w:t>
      </w:r>
      <w:r>
        <w:rPr>
          <w:rFonts w:ascii="Times New Roman" w:eastAsia="Times New Roman" w:hAnsi="Times New Roman" w:cs="Times New Roman"/>
          <w:i/>
          <w:iCs/>
          <w:sz w:val="24"/>
          <w:szCs w:val="24"/>
        </w:rPr>
        <w:t>Journal of Technology Management and Innovation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(1), 12–18.</w:t>
      </w:r>
      <w:hyperlink r:id="rId4">
        <w:r>
          <w:rPr>
            <w:rFonts w:ascii="Times New Roman" w:eastAsia="Times New Roman" w:hAnsi="Times New Roman" w:cs="Times New Roman"/>
            <w:sz w:val="24"/>
            <w:szCs w:val="24"/>
          </w:rPr>
          <w:t xml:space="preserve"> </w:t>
        </w:r>
      </w:hyperlink>
      <w:hyperlink r:id="rId5">
        <w:r>
          <w:rPr>
            <w:rFonts w:ascii="Times New Roman" w:eastAsia="Times New Roman" w:hAnsi="Times New Roman" w:cs="Times New Roman"/>
            <w:color w:val="1155CC"/>
            <w:sz w:val="24"/>
            <w:szCs w:val="24"/>
            <w:u w:val="single"/>
          </w:rPr>
          <w:t>https://doi.org/10.4067/S0718-27242016000100003</w:t>
        </w:r>
      </w:hyperlink>
    </w:p>
    <w:p w14:paraId="00000014" w14:textId="77777777" w:rsidR="00C83C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Crossan, N., </w:t>
      </w:r>
      <w:proofErr w:type="spellStart"/>
      <w:r>
        <w:rPr>
          <w:rFonts w:ascii="Times New Roman" w:eastAsia="Times New Roman" w:hAnsi="Times New Roman" w:cs="Times New Roman"/>
          <w:sz w:val="24"/>
          <w:szCs w:val="24"/>
        </w:rPr>
        <w:t>Seijts</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Gandz</w:t>
      </w:r>
      <w:proofErr w:type="spellEnd"/>
      <w:r>
        <w:rPr>
          <w:rFonts w:ascii="Times New Roman" w:eastAsia="Times New Roman" w:hAnsi="Times New Roman" w:cs="Times New Roman"/>
          <w:sz w:val="24"/>
          <w:szCs w:val="24"/>
        </w:rPr>
        <w:t xml:space="preserve">, J. (2016). </w:t>
      </w:r>
      <w:r>
        <w:rPr>
          <w:rFonts w:ascii="Times New Roman" w:eastAsia="Times New Roman" w:hAnsi="Times New Roman" w:cs="Times New Roman"/>
          <w:i/>
          <w:iCs/>
          <w:sz w:val="24"/>
          <w:szCs w:val="24"/>
        </w:rPr>
        <w:t>Developing leadership character</w:t>
      </w:r>
      <w:r>
        <w:rPr>
          <w:rFonts w:ascii="Times New Roman" w:eastAsia="Times New Roman" w:hAnsi="Times New Roman" w:cs="Times New Roman"/>
          <w:sz w:val="24"/>
          <w:szCs w:val="24"/>
        </w:rPr>
        <w:t>. Routledge.</w:t>
      </w:r>
    </w:p>
    <w:p w14:paraId="00000015" w14:textId="77777777" w:rsidR="00C83C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Crossan, M., Crossan, C., Newstead, T., &amp; Sturm, R. E. (2024). Developing leader character: Finding a way forward. </w:t>
      </w:r>
      <w:r>
        <w:rPr>
          <w:rFonts w:ascii="Times New Roman" w:eastAsia="Times New Roman" w:hAnsi="Times New Roman" w:cs="Times New Roman"/>
          <w:i/>
          <w:iCs/>
          <w:sz w:val="24"/>
          <w:szCs w:val="24"/>
        </w:rPr>
        <w:t>Academy of Management Learning and Education, 23</w:t>
      </w:r>
      <w:r>
        <w:rPr>
          <w:rFonts w:ascii="Times New Roman" w:eastAsia="Times New Roman" w:hAnsi="Times New Roman" w:cs="Times New Roman"/>
          <w:sz w:val="24"/>
          <w:szCs w:val="24"/>
        </w:rPr>
        <w:t>(4), 652–675. https://doi.org/10.5465/amle.2023.0520</w:t>
      </w:r>
    </w:p>
    <w:p w14:paraId="00000016" w14:textId="77777777" w:rsidR="00C83C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Dwivedi, Y. K., Kshetri, N., Hughes, L., Slade, E. L., Jeyaraj, A., Kar, A. K., </w:t>
      </w:r>
      <w:proofErr w:type="spellStart"/>
      <w:r>
        <w:rPr>
          <w:rFonts w:ascii="Times New Roman" w:eastAsia="Times New Roman" w:hAnsi="Times New Roman" w:cs="Times New Roman"/>
          <w:sz w:val="24"/>
          <w:szCs w:val="24"/>
        </w:rPr>
        <w:t>Baabdullah</w:t>
      </w:r>
      <w:proofErr w:type="spellEnd"/>
      <w:r>
        <w:rPr>
          <w:rFonts w:ascii="Times New Roman" w:eastAsia="Times New Roman" w:hAnsi="Times New Roman" w:cs="Times New Roman"/>
          <w:sz w:val="24"/>
          <w:szCs w:val="24"/>
        </w:rPr>
        <w:t xml:space="preserve">, A. M., </w:t>
      </w:r>
      <w:proofErr w:type="spellStart"/>
      <w:r>
        <w:rPr>
          <w:rFonts w:ascii="Times New Roman" w:eastAsia="Times New Roman" w:hAnsi="Times New Roman" w:cs="Times New Roman"/>
          <w:sz w:val="24"/>
          <w:szCs w:val="24"/>
        </w:rPr>
        <w:t>Koohang</w:t>
      </w:r>
      <w:proofErr w:type="spellEnd"/>
      <w:r>
        <w:rPr>
          <w:rFonts w:ascii="Times New Roman" w:eastAsia="Times New Roman" w:hAnsi="Times New Roman" w:cs="Times New Roman"/>
          <w:sz w:val="24"/>
          <w:szCs w:val="24"/>
        </w:rPr>
        <w:t xml:space="preserve">, A., Raghavan, V., Ahuja, M., Albanna, H., </w:t>
      </w:r>
      <w:proofErr w:type="spellStart"/>
      <w:r>
        <w:rPr>
          <w:rFonts w:ascii="Times New Roman" w:eastAsia="Times New Roman" w:hAnsi="Times New Roman" w:cs="Times New Roman"/>
          <w:sz w:val="24"/>
          <w:szCs w:val="24"/>
        </w:rPr>
        <w:t>Albashrawi</w:t>
      </w:r>
      <w:proofErr w:type="spellEnd"/>
      <w:r>
        <w:rPr>
          <w:rFonts w:ascii="Times New Roman" w:eastAsia="Times New Roman" w:hAnsi="Times New Roman" w:cs="Times New Roman"/>
          <w:sz w:val="24"/>
          <w:szCs w:val="24"/>
        </w:rPr>
        <w:t>, M. A., Al-</w:t>
      </w:r>
      <w:proofErr w:type="spellStart"/>
      <w:r>
        <w:rPr>
          <w:rFonts w:ascii="Times New Roman" w:eastAsia="Times New Roman" w:hAnsi="Times New Roman" w:cs="Times New Roman"/>
          <w:sz w:val="24"/>
          <w:szCs w:val="24"/>
        </w:rPr>
        <w:t>Busaidi</w:t>
      </w:r>
      <w:proofErr w:type="spellEnd"/>
      <w:r>
        <w:rPr>
          <w:rFonts w:ascii="Times New Roman" w:eastAsia="Times New Roman" w:hAnsi="Times New Roman" w:cs="Times New Roman"/>
          <w:sz w:val="24"/>
          <w:szCs w:val="24"/>
        </w:rPr>
        <w:t xml:space="preserve">, A. S., Balakrishnan, J., Barlette, Y., Basu, S., Bose, I., Brooks, L., </w:t>
      </w:r>
      <w:proofErr w:type="spellStart"/>
      <w:r>
        <w:rPr>
          <w:rFonts w:ascii="Times New Roman" w:eastAsia="Times New Roman" w:hAnsi="Times New Roman" w:cs="Times New Roman"/>
          <w:sz w:val="24"/>
          <w:szCs w:val="24"/>
        </w:rPr>
        <w:t>Buhalis</w:t>
      </w:r>
      <w:proofErr w:type="spellEnd"/>
      <w:r>
        <w:rPr>
          <w:rFonts w:ascii="Times New Roman" w:eastAsia="Times New Roman" w:hAnsi="Times New Roman" w:cs="Times New Roman"/>
          <w:sz w:val="24"/>
          <w:szCs w:val="24"/>
        </w:rPr>
        <w:t>, D., ... Wright, R. (2023).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 if ChatGPT wrote it?” Multidisciplinary perspectives on opportunities, challenges and implications of generative conversational AI for research, practice and policy. </w:t>
      </w:r>
      <w:r>
        <w:rPr>
          <w:rFonts w:ascii="Times New Roman" w:eastAsia="Times New Roman" w:hAnsi="Times New Roman" w:cs="Times New Roman"/>
          <w:i/>
          <w:iCs/>
          <w:sz w:val="24"/>
          <w:szCs w:val="24"/>
        </w:rPr>
        <w:t>International Journal of Information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71</w:t>
      </w:r>
      <w:r>
        <w:rPr>
          <w:rFonts w:ascii="Times New Roman" w:eastAsia="Times New Roman" w:hAnsi="Times New Roman" w:cs="Times New Roman"/>
          <w:sz w:val="24"/>
          <w:szCs w:val="24"/>
        </w:rPr>
        <w:t>, Article 102642. https://doi.org/10.1016/j.ijinfomgt.2023.102642</w:t>
      </w:r>
    </w:p>
    <w:p w14:paraId="00000017" w14:textId="77777777" w:rsidR="00C83C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Mezirow, J. (1997). Transformation Theory out of Context. </w:t>
      </w:r>
      <w:r>
        <w:rPr>
          <w:rFonts w:ascii="Times New Roman" w:eastAsia="Times New Roman" w:hAnsi="Times New Roman" w:cs="Times New Roman"/>
          <w:i/>
          <w:iCs/>
          <w:sz w:val="24"/>
          <w:szCs w:val="24"/>
        </w:rPr>
        <w:t>Adult Education Quarterly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48</w:t>
      </w:r>
      <w:r>
        <w:rPr>
          <w:rFonts w:ascii="Times New Roman" w:eastAsia="Times New Roman" w:hAnsi="Times New Roman" w:cs="Times New Roman"/>
          <w:sz w:val="24"/>
          <w:szCs w:val="24"/>
        </w:rPr>
        <w:t>(1), 60-62.</w:t>
      </w:r>
    </w:p>
    <w:p w14:paraId="00000018" w14:textId="77777777" w:rsidR="00C83CC6"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Nussbaum, M. C. (2011). Creating Capabilities: The Human Development Approach. Belknap Press.</w:t>
      </w:r>
      <w:hyperlink r:id="rId6">
        <w:r>
          <w:rPr>
            <w:rFonts w:ascii="Times New Roman" w:eastAsia="Times New Roman" w:hAnsi="Times New Roman" w:cs="Times New Roman"/>
            <w:sz w:val="24"/>
            <w:szCs w:val="24"/>
          </w:rPr>
          <w:t xml:space="preserve"> </w:t>
        </w:r>
      </w:hyperlink>
      <w:hyperlink r:id="rId7">
        <w:r>
          <w:rPr>
            <w:rFonts w:ascii="Times New Roman" w:eastAsia="Times New Roman" w:hAnsi="Times New Roman" w:cs="Times New Roman"/>
            <w:color w:val="1155CC"/>
            <w:sz w:val="24"/>
            <w:szCs w:val="24"/>
            <w:u w:val="single"/>
          </w:rPr>
          <w:t>https://doi.org/10.4159/harvard.9780674061200</w:t>
        </w:r>
      </w:hyperlink>
    </w:p>
    <w:p w14:paraId="00000019" w14:textId="77777777" w:rsidR="00C83C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Orlikowski, W. J. (2007). </w:t>
      </w:r>
      <w:proofErr w:type="spellStart"/>
      <w:r>
        <w:rPr>
          <w:rFonts w:ascii="Times New Roman" w:eastAsia="Times New Roman" w:hAnsi="Times New Roman" w:cs="Times New Roman"/>
          <w:sz w:val="24"/>
          <w:szCs w:val="24"/>
        </w:rPr>
        <w:t>Sociomaterial</w:t>
      </w:r>
      <w:proofErr w:type="spellEnd"/>
      <w:r>
        <w:rPr>
          <w:rFonts w:ascii="Times New Roman" w:eastAsia="Times New Roman" w:hAnsi="Times New Roman" w:cs="Times New Roman"/>
          <w:sz w:val="24"/>
          <w:szCs w:val="24"/>
        </w:rPr>
        <w:t xml:space="preserve"> Practices: Exploring Technology at Work. </w:t>
      </w:r>
      <w:r>
        <w:rPr>
          <w:rFonts w:ascii="Times New Roman" w:eastAsia="Times New Roman" w:hAnsi="Times New Roman" w:cs="Times New Roman"/>
          <w:i/>
          <w:iCs/>
          <w:sz w:val="24"/>
          <w:szCs w:val="24"/>
        </w:rPr>
        <w:t>Organization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28</w:t>
      </w:r>
      <w:r>
        <w:rPr>
          <w:rFonts w:ascii="Times New Roman" w:eastAsia="Times New Roman" w:hAnsi="Times New Roman" w:cs="Times New Roman"/>
          <w:sz w:val="24"/>
          <w:szCs w:val="24"/>
        </w:rPr>
        <w:t>(9), 1435-1448.</w:t>
      </w:r>
    </w:p>
    <w:p w14:paraId="0000001A" w14:textId="77777777" w:rsidR="00C83CC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Principles for Responsible Management Education (PRME). (2017). </w:t>
      </w:r>
      <w:r>
        <w:rPr>
          <w:rFonts w:ascii="Times New Roman" w:eastAsia="Times New Roman" w:hAnsi="Times New Roman" w:cs="Times New Roman"/>
          <w:i/>
          <w:iCs/>
          <w:sz w:val="24"/>
          <w:szCs w:val="24"/>
        </w:rPr>
        <w:t>Six principles</w:t>
      </w:r>
      <w:r>
        <w:rPr>
          <w:rFonts w:ascii="Times New Roman" w:eastAsia="Times New Roman" w:hAnsi="Times New Roman" w:cs="Times New Roman"/>
          <w:sz w:val="24"/>
          <w:szCs w:val="24"/>
        </w:rPr>
        <w:t>. Available at:</w:t>
      </w:r>
      <w:hyperlink r:id="rId8">
        <w:r>
          <w:rPr>
            <w:rFonts w:ascii="Times New Roman" w:eastAsia="Times New Roman" w:hAnsi="Times New Roman" w:cs="Times New Roman"/>
            <w:sz w:val="24"/>
            <w:szCs w:val="24"/>
          </w:rPr>
          <w:t xml:space="preserve"> </w:t>
        </w:r>
      </w:hyperlink>
      <w:hyperlink r:id="rId9">
        <w:r>
          <w:rPr>
            <w:rFonts w:ascii="Times New Roman" w:eastAsia="Times New Roman" w:hAnsi="Times New Roman" w:cs="Times New Roman"/>
            <w:color w:val="1155CC"/>
            <w:sz w:val="24"/>
            <w:szCs w:val="24"/>
            <w:u w:val="single"/>
          </w:rPr>
          <w:t>https://www.unprme.org/what-we-do/</w:t>
        </w:r>
      </w:hyperlink>
      <w:r>
        <w:rPr>
          <w:rFonts w:ascii="Times New Roman" w:eastAsia="Times New Roman" w:hAnsi="Times New Roman" w:cs="Times New Roman"/>
          <w:sz w:val="24"/>
          <w:szCs w:val="24"/>
        </w:rPr>
        <w:t>.</w:t>
      </w:r>
    </w:p>
    <w:p w14:paraId="0000001B" w14:textId="77777777" w:rsidR="00C83CC6"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Raisch, S., &amp; Krakowski, S. (2021). Artificial intelligence and management: The automation–augmentation paradox. </w:t>
      </w:r>
      <w:r>
        <w:rPr>
          <w:rFonts w:ascii="Times New Roman" w:eastAsia="Times New Roman" w:hAnsi="Times New Roman" w:cs="Times New Roman"/>
          <w:i/>
          <w:iCs/>
          <w:sz w:val="24"/>
          <w:szCs w:val="24"/>
        </w:rPr>
        <w:t>The Academy of Management Review, 46</w:t>
      </w:r>
      <w:r>
        <w:rPr>
          <w:rFonts w:ascii="Times New Roman" w:eastAsia="Times New Roman" w:hAnsi="Times New Roman" w:cs="Times New Roman"/>
          <w:sz w:val="24"/>
          <w:szCs w:val="24"/>
        </w:rPr>
        <w:t xml:space="preserve">(1), 192–210. </w:t>
      </w:r>
      <w:hyperlink r:id="rId10">
        <w:r>
          <w:rPr>
            <w:rFonts w:ascii="Times New Roman" w:eastAsia="Times New Roman" w:hAnsi="Times New Roman" w:cs="Times New Roman"/>
            <w:color w:val="1155CC"/>
            <w:sz w:val="24"/>
            <w:szCs w:val="24"/>
            <w:u w:val="single"/>
          </w:rPr>
          <w:t>https://doi.org/10.5465/amr.2018.0072</w:t>
        </w:r>
      </w:hyperlink>
    </w:p>
    <w:p w14:paraId="0000001C" w14:textId="77777777" w:rsidR="00C83CC6"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Waddock S (2020). Achieving sustainability requires systemic business transformation. Global Sustainability 3, e12, 1–12.</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color w:val="1155CC"/>
            <w:sz w:val="24"/>
            <w:szCs w:val="24"/>
            <w:u w:val="single"/>
          </w:rPr>
          <w:t>https://doi.org/10.1017/sus.2020.9</w:t>
        </w:r>
      </w:hyperlink>
    </w:p>
    <w:p w14:paraId="0000001F" w14:textId="4618C546" w:rsidR="00C83CC6" w:rsidRPr="00AF19D9" w:rsidRDefault="00000000" w:rsidP="00AF19D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C83CC6" w:rsidRPr="00AF19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9F35AA9-7AEF-C443-B9E3-316A85F51A8C}"/>
    <w:embedItalic r:id="rId2" w:fontKey="{8FF64536-A149-C04B-A96B-397EF381FD04}"/>
  </w:font>
  <w:font w:name="Times New Roman">
    <w:panose1 w:val="02020603050405020304"/>
    <w:charset w:val="00"/>
    <w:family w:val="roman"/>
    <w:pitch w:val="variable"/>
    <w:sig w:usb0="E0002EFF" w:usb1="C000785B" w:usb2="00000009" w:usb3="00000000" w:csb0="000001FF" w:csb1="00000000"/>
    <w:embedRegular r:id="rId3" w:fontKey="{1A5C4316-3A71-A64D-9AEA-A9CAB6870738}"/>
    <w:embedBold r:id="rId4" w:fontKey="{12DFCC47-4C7D-3C43-AC81-DE1B7AFF7D7E}"/>
    <w:embedItalic r:id="rId5" w:fontKey="{8E173FA0-072B-3947-90B7-A6DB6F4AD369}"/>
  </w:font>
  <w:font w:name="Calibri">
    <w:panose1 w:val="020F0502020204030204"/>
    <w:charset w:val="00"/>
    <w:family w:val="swiss"/>
    <w:pitch w:val="variable"/>
    <w:sig w:usb0="E4002EFF" w:usb1="C200247B" w:usb2="00000009" w:usb3="00000000" w:csb0="000001FF" w:csb1="00000000"/>
    <w:embedRegular r:id="rId6" w:fontKey="{ED9142C9-09C8-484E-8333-A60BE26FFFA2}"/>
  </w:font>
  <w:font w:name="Cambria">
    <w:panose1 w:val="02040503050406030204"/>
    <w:charset w:val="00"/>
    <w:family w:val="roman"/>
    <w:pitch w:val="variable"/>
    <w:sig w:usb0="E00006FF" w:usb1="420024FF" w:usb2="02000000" w:usb3="00000000" w:csb0="0000019F" w:csb1="00000000"/>
    <w:embedRegular r:id="rId7" w:fontKey="{705BD86C-E145-3A48-978B-DD64883A3B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CC6"/>
    <w:rsid w:val="008B472D"/>
    <w:rsid w:val="00AF19D9"/>
    <w:rsid w:val="00C83CC6"/>
    <w:rsid w:val="00F433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DF3381C"/>
  <w15:docId w15:val="{AB39B6DB-D00F-FC4D-B875-4AAEF38C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nprme.org/what-we-do/"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i.org/10.4159/harvard.9780674061200" TargetMode="External"/><Relationship Id="rId12" Type="http://schemas.openxmlformats.org/officeDocument/2006/relationships/hyperlink" Target="https://doi.org/10.1017/sus.2020.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4159/harvard.9780674061200" TargetMode="External"/><Relationship Id="rId11" Type="http://schemas.openxmlformats.org/officeDocument/2006/relationships/hyperlink" Target="https://doi.org/10.1017/sus.2020.9" TargetMode="External"/><Relationship Id="rId5" Type="http://schemas.openxmlformats.org/officeDocument/2006/relationships/hyperlink" Target="https://doi.org/10.4067/S0718-27242016000100003" TargetMode="External"/><Relationship Id="rId10" Type="http://schemas.openxmlformats.org/officeDocument/2006/relationships/hyperlink" Target="https://psycnet.apa.org/doi/10.5465/amr.2018.0072" TargetMode="External"/><Relationship Id="rId4" Type="http://schemas.openxmlformats.org/officeDocument/2006/relationships/hyperlink" Target="https://doi.org/10.4067/S0718-27242016000100003" TargetMode="External"/><Relationship Id="rId9" Type="http://schemas.openxmlformats.org/officeDocument/2006/relationships/hyperlink" Target="https://www.unprme.org/what-we-d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1345</Words>
  <Characters>8623</Characters>
  <Application>Microsoft Office Word</Application>
  <DocSecurity>0</DocSecurity>
  <Lines>124</Lines>
  <Paragraphs>32</Paragraphs>
  <ScaleCrop>false</ScaleCrop>
  <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Jody Rebek</cp:lastModifiedBy>
  <cp:revision>2</cp:revision>
  <dcterms:created xsi:type="dcterms:W3CDTF">2026-04-01T00:43:00Z</dcterms:created>
  <dcterms:modified xsi:type="dcterms:W3CDTF">2026-04-01T00:43:00Z</dcterms:modified>
</cp:coreProperties>
</file>